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1C97" w14:textId="77777777" w:rsidR="002433E2" w:rsidRPr="002433E2" w:rsidRDefault="002433E2" w:rsidP="002433E2">
      <w:pPr>
        <w:spacing w:before="100" w:beforeAutospacing="1" w:after="100" w:afterAutospacing="1" w:line="240" w:lineRule="auto"/>
        <w:textAlignment w:val="baseline"/>
        <w:outlineLvl w:val="0"/>
        <w:rPr>
          <w:rFonts w:ascii="inherit" w:eastAsia="Times New Roman" w:hAnsi="inherit" w:cs="Times New Roman"/>
          <w:b/>
          <w:bCs/>
          <w:kern w:val="36"/>
          <w:sz w:val="48"/>
          <w:szCs w:val="48"/>
        </w:rPr>
      </w:pPr>
      <w:r w:rsidRPr="002433E2">
        <w:rPr>
          <w:rFonts w:ascii="inherit" w:eastAsia="Times New Roman" w:hAnsi="inherit" w:cs="Times New Roman"/>
          <w:b/>
          <w:bCs/>
          <w:kern w:val="36"/>
          <w:sz w:val="48"/>
          <w:szCs w:val="48"/>
        </w:rPr>
        <w:t>2024 Annual Treasurer's Report</w:t>
      </w:r>
    </w:p>
    <w:p w14:paraId="063E837B" w14:textId="77777777" w:rsidR="002433E2" w:rsidRPr="002433E2" w:rsidRDefault="002433E2" w:rsidP="002433E2">
      <w:pPr>
        <w:spacing w:before="100" w:beforeAutospacing="1" w:after="100" w:afterAutospacing="1" w:line="240" w:lineRule="auto"/>
        <w:textAlignment w:val="baseline"/>
        <w:outlineLvl w:val="1"/>
        <w:rPr>
          <w:rFonts w:ascii="inherit" w:eastAsia="Times New Roman" w:hAnsi="inherit" w:cs="Times New Roman"/>
          <w:b/>
          <w:bCs/>
          <w:kern w:val="0"/>
          <w:sz w:val="36"/>
          <w:szCs w:val="36"/>
        </w:rPr>
      </w:pPr>
      <w:r w:rsidRPr="002433E2">
        <w:rPr>
          <w:rFonts w:ascii="inherit" w:eastAsia="Times New Roman" w:hAnsi="inherit" w:cs="Times New Roman"/>
          <w:b/>
          <w:bCs/>
          <w:kern w:val="0"/>
          <w:sz w:val="36"/>
          <w:szCs w:val="36"/>
        </w:rPr>
        <w:t>Overview of 2024 Financial Performance</w:t>
      </w:r>
    </w:p>
    <w:p w14:paraId="2746C91F" w14:textId="77777777" w:rsidR="002433E2" w:rsidRPr="002433E2" w:rsidRDefault="002433E2" w:rsidP="002433E2">
      <w:pPr>
        <w:spacing w:before="100" w:beforeAutospacing="1" w:after="100" w:afterAutospacing="1" w:line="240" w:lineRule="auto"/>
        <w:textAlignment w:val="baseline"/>
        <w:rPr>
          <w:rFonts w:ascii="inherit" w:eastAsia="Times New Roman" w:hAnsi="inherit" w:cs="Times New Roman"/>
          <w:kern w:val="0"/>
        </w:rPr>
      </w:pPr>
      <w:r w:rsidRPr="002433E2">
        <w:rPr>
          <w:rFonts w:ascii="inherit" w:eastAsia="Times New Roman" w:hAnsi="inherit" w:cs="Times New Roman"/>
          <w:kern w:val="0"/>
        </w:rPr>
        <w:t>The NH Conference ended 2024 in a stable financial position with only a $960 operating deficit, essentially breaking even for the year. This represents solid financial management during a year of continued post-pandemic recovery and significant infrastructure improvements. Our total operating revenue reached $941,917, hitting 97% of our budgeted target, while expenses were well-controlled at 97% of budget.</w:t>
      </w:r>
    </w:p>
    <w:p w14:paraId="619E7005" w14:textId="77777777" w:rsidR="002433E2" w:rsidRPr="002433E2" w:rsidRDefault="002433E2" w:rsidP="002433E2">
      <w:pPr>
        <w:spacing w:before="100" w:beforeAutospacing="1" w:after="100" w:afterAutospacing="1" w:line="240" w:lineRule="auto"/>
        <w:textAlignment w:val="baseline"/>
        <w:outlineLvl w:val="1"/>
        <w:rPr>
          <w:rFonts w:ascii="inherit" w:eastAsia="Times New Roman" w:hAnsi="inherit" w:cs="Times New Roman"/>
          <w:b/>
          <w:bCs/>
          <w:kern w:val="0"/>
          <w:sz w:val="36"/>
          <w:szCs w:val="36"/>
        </w:rPr>
      </w:pPr>
      <w:r w:rsidRPr="002433E2">
        <w:rPr>
          <w:rFonts w:ascii="inherit" w:eastAsia="Times New Roman" w:hAnsi="inherit" w:cs="Times New Roman"/>
          <w:b/>
          <w:bCs/>
          <w:kern w:val="0"/>
          <w:sz w:val="36"/>
          <w:szCs w:val="36"/>
        </w:rPr>
        <w:t>Key Financial Achievements</w:t>
      </w:r>
    </w:p>
    <w:p w14:paraId="163C4DC8" w14:textId="77777777" w:rsidR="002433E2" w:rsidRPr="002433E2" w:rsidRDefault="002433E2" w:rsidP="002433E2">
      <w:pPr>
        <w:spacing w:before="100" w:beforeAutospacing="1" w:after="100" w:afterAutospacing="1" w:line="240" w:lineRule="auto"/>
        <w:textAlignment w:val="baseline"/>
        <w:rPr>
          <w:rFonts w:ascii="inherit" w:eastAsia="Times New Roman" w:hAnsi="inherit" w:cs="Times New Roman"/>
          <w:kern w:val="0"/>
        </w:rPr>
      </w:pPr>
      <w:r w:rsidRPr="002433E2">
        <w:rPr>
          <w:rFonts w:ascii="inherit" w:eastAsia="Times New Roman" w:hAnsi="inherit" w:cs="Times New Roman"/>
          <w:b/>
          <w:bCs/>
          <w:kern w:val="0"/>
        </w:rPr>
        <w:t>Debt Reduction</w:t>
      </w:r>
      <w:r w:rsidRPr="002433E2">
        <w:rPr>
          <w:rFonts w:ascii="inherit" w:eastAsia="Times New Roman" w:hAnsi="inherit" w:cs="Times New Roman"/>
          <w:kern w:val="0"/>
        </w:rPr>
        <w:t>: We successfully paid off our entire line of credit balance of $49,204, significantly reducing our external debt obligations and eliminating the associated interest payments on our primary borrowing facility. This represents a major improvement in our financial independence and cash flow management.</w:t>
      </w:r>
    </w:p>
    <w:p w14:paraId="22809C98" w14:textId="77777777" w:rsidR="002433E2" w:rsidRPr="002433E2" w:rsidRDefault="002433E2" w:rsidP="002433E2">
      <w:pPr>
        <w:spacing w:before="100" w:beforeAutospacing="1" w:after="100" w:afterAutospacing="1" w:line="240" w:lineRule="auto"/>
        <w:textAlignment w:val="baseline"/>
        <w:rPr>
          <w:rFonts w:ascii="inherit" w:eastAsia="Times New Roman" w:hAnsi="inherit" w:cs="Times New Roman"/>
          <w:kern w:val="0"/>
        </w:rPr>
      </w:pPr>
      <w:r w:rsidRPr="002433E2">
        <w:rPr>
          <w:rFonts w:ascii="inherit" w:eastAsia="Times New Roman" w:hAnsi="inherit" w:cs="Times New Roman"/>
          <w:b/>
          <w:bCs/>
          <w:kern w:val="0"/>
        </w:rPr>
        <w:t>Investment Growth</w:t>
      </w:r>
      <w:r w:rsidRPr="002433E2">
        <w:rPr>
          <w:rFonts w:ascii="inherit" w:eastAsia="Times New Roman" w:hAnsi="inherit" w:cs="Times New Roman"/>
          <w:kern w:val="0"/>
        </w:rPr>
        <w:t>: Our investment portfolio performed exceptionally well, growing by $887,076 during 2024 to reach nearly $10.2 million. This strong performance provides a solid foundation for future ministry funding and demonstrates the value of our long-term investment strategy.</w:t>
      </w:r>
    </w:p>
    <w:p w14:paraId="3B0429C4" w14:textId="77777777" w:rsidR="002433E2" w:rsidRPr="002433E2" w:rsidRDefault="002433E2" w:rsidP="002433E2">
      <w:pPr>
        <w:spacing w:before="100" w:beforeAutospacing="1" w:after="100" w:afterAutospacing="1" w:line="240" w:lineRule="auto"/>
        <w:textAlignment w:val="baseline"/>
        <w:rPr>
          <w:rFonts w:ascii="inherit" w:eastAsia="Times New Roman" w:hAnsi="inherit" w:cs="Times New Roman"/>
          <w:kern w:val="0"/>
        </w:rPr>
      </w:pPr>
      <w:r w:rsidRPr="002433E2">
        <w:rPr>
          <w:rFonts w:ascii="inherit" w:eastAsia="Times New Roman" w:hAnsi="inherit" w:cs="Times New Roman"/>
          <w:b/>
          <w:bCs/>
          <w:kern w:val="0"/>
        </w:rPr>
        <w:t>OCWM Performance</w:t>
      </w:r>
      <w:r w:rsidRPr="002433E2">
        <w:rPr>
          <w:rFonts w:ascii="inherit" w:eastAsia="Times New Roman" w:hAnsi="inherit" w:cs="Times New Roman"/>
          <w:kern w:val="0"/>
        </w:rPr>
        <w:t>: Our churches contributed $481,928 in Basic Mission Support, reaching 98% of our budget target. While this was down 5% from 2023, it still represents strong commitment from our congregations to the wider mission of the church.</w:t>
      </w:r>
    </w:p>
    <w:p w14:paraId="29C32709" w14:textId="77777777" w:rsidR="002433E2" w:rsidRPr="002433E2" w:rsidRDefault="002433E2" w:rsidP="002433E2">
      <w:pPr>
        <w:spacing w:before="100" w:beforeAutospacing="1" w:after="100" w:afterAutospacing="1" w:line="240" w:lineRule="auto"/>
        <w:textAlignment w:val="baseline"/>
        <w:outlineLvl w:val="1"/>
        <w:rPr>
          <w:rFonts w:ascii="inherit" w:eastAsia="Times New Roman" w:hAnsi="inherit" w:cs="Times New Roman"/>
          <w:b/>
          <w:bCs/>
          <w:kern w:val="0"/>
          <w:sz w:val="36"/>
          <w:szCs w:val="36"/>
        </w:rPr>
      </w:pPr>
      <w:r w:rsidRPr="002433E2">
        <w:rPr>
          <w:rFonts w:ascii="inherit" w:eastAsia="Times New Roman" w:hAnsi="inherit" w:cs="Times New Roman"/>
          <w:b/>
          <w:bCs/>
          <w:kern w:val="0"/>
          <w:sz w:val="36"/>
          <w:szCs w:val="36"/>
        </w:rPr>
        <w:t>Revenue and Expense Management</w:t>
      </w:r>
    </w:p>
    <w:p w14:paraId="3EBD4E26" w14:textId="77777777" w:rsidR="002433E2" w:rsidRPr="002433E2" w:rsidRDefault="002433E2" w:rsidP="002433E2">
      <w:pPr>
        <w:spacing w:before="100" w:beforeAutospacing="1" w:after="100" w:afterAutospacing="1" w:line="240" w:lineRule="auto"/>
        <w:textAlignment w:val="baseline"/>
        <w:rPr>
          <w:rFonts w:ascii="inherit" w:eastAsia="Times New Roman" w:hAnsi="inherit" w:cs="Times New Roman"/>
          <w:kern w:val="0"/>
        </w:rPr>
      </w:pPr>
      <w:r w:rsidRPr="002433E2">
        <w:rPr>
          <w:rFonts w:ascii="inherit" w:eastAsia="Times New Roman" w:hAnsi="inherit" w:cs="Times New Roman"/>
          <w:kern w:val="0"/>
        </w:rPr>
        <w:t>Revenue streams performed consistently with Fellowship Dues at 98% of budget, though we experienced some collection challenges from certain associations. Investment distributions and trust income exceeded expectations at 109% of budget, helping offset other shortfalls. Our rental income from both the Pembroke office building and cell tower performed well, with the tower revenue reaching 111% of budget.</w:t>
      </w:r>
    </w:p>
    <w:p w14:paraId="7F6BE563" w14:textId="77777777" w:rsidR="002433E2" w:rsidRPr="002433E2" w:rsidRDefault="002433E2" w:rsidP="002433E2">
      <w:pPr>
        <w:spacing w:before="100" w:beforeAutospacing="1" w:after="100" w:afterAutospacing="1" w:line="240" w:lineRule="auto"/>
        <w:textAlignment w:val="baseline"/>
        <w:rPr>
          <w:rFonts w:ascii="inherit" w:eastAsia="Times New Roman" w:hAnsi="inherit" w:cs="Times New Roman"/>
          <w:kern w:val="0"/>
        </w:rPr>
      </w:pPr>
      <w:r w:rsidRPr="002433E2">
        <w:rPr>
          <w:rFonts w:ascii="inherit" w:eastAsia="Times New Roman" w:hAnsi="inherit" w:cs="Times New Roman"/>
          <w:kern w:val="0"/>
        </w:rPr>
        <w:t xml:space="preserve">On the expense side, we maintained strong fiscal discipline with total expenses at 97% of budget. Personnel costs, our largest expense category, were well-managed even </w:t>
      </w:r>
      <w:proofErr w:type="gramStart"/>
      <w:r w:rsidRPr="002433E2">
        <w:rPr>
          <w:rFonts w:ascii="inherit" w:eastAsia="Times New Roman" w:hAnsi="inherit" w:cs="Times New Roman"/>
          <w:kern w:val="0"/>
        </w:rPr>
        <w:t>as</w:t>
      </w:r>
      <w:proofErr w:type="gramEnd"/>
      <w:r w:rsidRPr="002433E2">
        <w:rPr>
          <w:rFonts w:ascii="inherit" w:eastAsia="Times New Roman" w:hAnsi="inherit" w:cs="Times New Roman"/>
          <w:kern w:val="0"/>
        </w:rPr>
        <w:t xml:space="preserve"> we transitioned from two full-time and two part-time positions to three full-time and one part-time </w:t>
      </w:r>
      <w:proofErr w:type="gramStart"/>
      <w:r w:rsidRPr="002433E2">
        <w:rPr>
          <w:rFonts w:ascii="inherit" w:eastAsia="Times New Roman" w:hAnsi="inherit" w:cs="Times New Roman"/>
          <w:kern w:val="0"/>
        </w:rPr>
        <w:t>position</w:t>
      </w:r>
      <w:proofErr w:type="gramEnd"/>
      <w:r w:rsidRPr="002433E2">
        <w:rPr>
          <w:rFonts w:ascii="inherit" w:eastAsia="Times New Roman" w:hAnsi="inherit" w:cs="Times New Roman"/>
          <w:kern w:val="0"/>
        </w:rPr>
        <w:t xml:space="preserve"> by year-end. Property expenses were slightly over budget due to necessary building maintenance, and we made strategic investments in technology infrastructure and communications equipment.</w:t>
      </w:r>
    </w:p>
    <w:p w14:paraId="694C0225" w14:textId="77777777" w:rsidR="002433E2" w:rsidRPr="002433E2" w:rsidRDefault="002433E2" w:rsidP="002433E2">
      <w:pPr>
        <w:spacing w:before="100" w:beforeAutospacing="1" w:after="100" w:afterAutospacing="1" w:line="240" w:lineRule="auto"/>
        <w:textAlignment w:val="baseline"/>
        <w:outlineLvl w:val="1"/>
        <w:rPr>
          <w:rFonts w:ascii="inherit" w:eastAsia="Times New Roman" w:hAnsi="inherit" w:cs="Times New Roman"/>
          <w:b/>
          <w:bCs/>
          <w:kern w:val="0"/>
          <w:sz w:val="36"/>
          <w:szCs w:val="36"/>
        </w:rPr>
      </w:pPr>
      <w:r w:rsidRPr="002433E2">
        <w:rPr>
          <w:rFonts w:ascii="inherit" w:eastAsia="Times New Roman" w:hAnsi="inherit" w:cs="Times New Roman"/>
          <w:b/>
          <w:bCs/>
          <w:kern w:val="0"/>
          <w:sz w:val="36"/>
          <w:szCs w:val="36"/>
        </w:rPr>
        <w:t>Horton Center Ministry</w:t>
      </w:r>
    </w:p>
    <w:p w14:paraId="23FB36F6" w14:textId="77777777" w:rsidR="002433E2" w:rsidRPr="002433E2" w:rsidRDefault="002433E2" w:rsidP="002433E2">
      <w:pPr>
        <w:spacing w:before="100" w:beforeAutospacing="1" w:after="100" w:afterAutospacing="1" w:line="240" w:lineRule="auto"/>
        <w:textAlignment w:val="baseline"/>
        <w:rPr>
          <w:rFonts w:ascii="inherit" w:eastAsia="Times New Roman" w:hAnsi="inherit" w:cs="Times New Roman"/>
          <w:kern w:val="0"/>
        </w:rPr>
      </w:pPr>
      <w:r w:rsidRPr="002433E2">
        <w:rPr>
          <w:rFonts w:ascii="inherit" w:eastAsia="Times New Roman" w:hAnsi="inherit" w:cs="Times New Roman"/>
          <w:kern w:val="0"/>
        </w:rPr>
        <w:lastRenderedPageBreak/>
        <w:t>Horton Center operations showed a $64,083 deficit, which reflects the reality that meaningful ministry sometimes requires financial investment. However, when combined with the allocated cell tower revenue of $79,814, the Center contributed a net positive $15,731 to the Conference's overall mission. This demonstrates how strategic decisions, like the cell tower lease, can support vital ministries that serve our young people and broader community. The Center showed continued improvement in both fundraising and camper registrations as we moved further beyond the pandemic's impact.</w:t>
      </w:r>
    </w:p>
    <w:p w14:paraId="777835F5" w14:textId="77777777" w:rsidR="002433E2" w:rsidRPr="002433E2" w:rsidRDefault="002433E2" w:rsidP="002433E2">
      <w:pPr>
        <w:spacing w:before="100" w:beforeAutospacing="1" w:after="100" w:afterAutospacing="1" w:line="240" w:lineRule="auto"/>
        <w:textAlignment w:val="baseline"/>
        <w:outlineLvl w:val="1"/>
        <w:rPr>
          <w:rFonts w:ascii="inherit" w:eastAsia="Times New Roman" w:hAnsi="inherit" w:cs="Times New Roman"/>
          <w:b/>
          <w:bCs/>
          <w:kern w:val="0"/>
          <w:sz w:val="36"/>
          <w:szCs w:val="36"/>
        </w:rPr>
      </w:pPr>
      <w:r w:rsidRPr="002433E2">
        <w:rPr>
          <w:rFonts w:ascii="inherit" w:eastAsia="Times New Roman" w:hAnsi="inherit" w:cs="Times New Roman"/>
          <w:b/>
          <w:bCs/>
          <w:kern w:val="0"/>
          <w:sz w:val="36"/>
          <w:szCs w:val="36"/>
        </w:rPr>
        <w:t>Learning and Transition</w:t>
      </w:r>
    </w:p>
    <w:p w14:paraId="59BAF9DA" w14:textId="77777777" w:rsidR="002433E2" w:rsidRPr="002433E2" w:rsidRDefault="002433E2" w:rsidP="002433E2">
      <w:pPr>
        <w:spacing w:before="100" w:beforeAutospacing="1" w:after="100" w:afterAutospacing="1" w:line="240" w:lineRule="auto"/>
        <w:textAlignment w:val="baseline"/>
        <w:rPr>
          <w:rFonts w:ascii="inherit" w:eastAsia="Times New Roman" w:hAnsi="inherit" w:cs="Times New Roman"/>
          <w:kern w:val="0"/>
        </w:rPr>
      </w:pPr>
      <w:r w:rsidRPr="002433E2">
        <w:rPr>
          <w:rFonts w:ascii="inherit" w:eastAsia="Times New Roman" w:hAnsi="inherit" w:cs="Times New Roman"/>
          <w:kern w:val="0"/>
        </w:rPr>
        <w:t>As someone who assumed the treasurer role near the end of 2024, I want to acknowledge that this complex financial structure continues to be a learning experience. The intricate relationships between operating funds, restricted funds, internal borrowing, and various revenue streams require ongoing study. I'm grateful for Lydia Frasca's expertise and patience as I work to understand all the nuances of our financial operations.</w:t>
      </w:r>
    </w:p>
    <w:p w14:paraId="75101827" w14:textId="77777777" w:rsidR="002433E2" w:rsidRPr="002433E2" w:rsidRDefault="002433E2" w:rsidP="002433E2">
      <w:pPr>
        <w:spacing w:before="100" w:beforeAutospacing="1" w:after="100" w:afterAutospacing="1" w:line="240" w:lineRule="auto"/>
        <w:textAlignment w:val="baseline"/>
        <w:outlineLvl w:val="1"/>
        <w:rPr>
          <w:rFonts w:ascii="inherit" w:eastAsia="Times New Roman" w:hAnsi="inherit" w:cs="Times New Roman"/>
          <w:b/>
          <w:bCs/>
          <w:kern w:val="0"/>
          <w:sz w:val="36"/>
          <w:szCs w:val="36"/>
        </w:rPr>
      </w:pPr>
      <w:r w:rsidRPr="002433E2">
        <w:rPr>
          <w:rFonts w:ascii="inherit" w:eastAsia="Times New Roman" w:hAnsi="inherit" w:cs="Times New Roman"/>
          <w:b/>
          <w:bCs/>
          <w:kern w:val="0"/>
          <w:sz w:val="36"/>
          <w:szCs w:val="36"/>
        </w:rPr>
        <w:t>Looking Back at the First Half of 2025</w:t>
      </w:r>
    </w:p>
    <w:p w14:paraId="057B88F5" w14:textId="77777777" w:rsidR="002433E2" w:rsidRPr="002433E2" w:rsidRDefault="002433E2" w:rsidP="002433E2">
      <w:pPr>
        <w:spacing w:before="100" w:beforeAutospacing="1" w:after="100" w:afterAutospacing="1" w:line="240" w:lineRule="auto"/>
        <w:textAlignment w:val="baseline"/>
        <w:rPr>
          <w:rFonts w:ascii="inherit" w:eastAsia="Times New Roman" w:hAnsi="inherit" w:cs="Times New Roman"/>
          <w:kern w:val="0"/>
        </w:rPr>
      </w:pPr>
      <w:r w:rsidRPr="002433E2">
        <w:rPr>
          <w:rFonts w:ascii="inherit" w:eastAsia="Times New Roman" w:hAnsi="inherit" w:cs="Times New Roman"/>
          <w:kern w:val="0"/>
        </w:rPr>
        <w:t xml:space="preserve">Reflecting on the first half of 2025, we saw typical seasonal patterns with summer expenses flowing through as expected and </w:t>
      </w:r>
      <w:proofErr w:type="gramStart"/>
      <w:r w:rsidRPr="002433E2">
        <w:rPr>
          <w:rFonts w:ascii="inherit" w:eastAsia="Times New Roman" w:hAnsi="inherit" w:cs="Times New Roman"/>
          <w:kern w:val="0"/>
        </w:rPr>
        <w:t>OCWM giving</w:t>
      </w:r>
      <w:proofErr w:type="gramEnd"/>
      <w:r w:rsidRPr="002433E2">
        <w:rPr>
          <w:rFonts w:ascii="inherit" w:eastAsia="Times New Roman" w:hAnsi="inherit" w:cs="Times New Roman"/>
          <w:kern w:val="0"/>
        </w:rPr>
        <w:t xml:space="preserve"> showing the normal summer slowdown that historically occurs when many churches are less active during those months. Our strong cash position, reduced external debt, and investment recovery provided a solid foundation that helped us navigate the summer season successfully.</w:t>
      </w:r>
    </w:p>
    <w:p w14:paraId="0E399702" w14:textId="77777777" w:rsidR="00F6796B" w:rsidRDefault="00F6796B"/>
    <w:sectPr w:rsidR="00F67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E2"/>
    <w:rsid w:val="002433E2"/>
    <w:rsid w:val="007E4126"/>
    <w:rsid w:val="00F6796B"/>
    <w:rsid w:val="00FA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C25D"/>
  <w15:chartTrackingRefBased/>
  <w15:docId w15:val="{7B001F90-EF27-433C-BC60-AF889F0C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E2"/>
    <w:rPr>
      <w:rFonts w:eastAsiaTheme="majorEastAsia" w:cstheme="majorBidi"/>
      <w:color w:val="272727" w:themeColor="text1" w:themeTint="D8"/>
    </w:rPr>
  </w:style>
  <w:style w:type="paragraph" w:styleId="Title">
    <w:name w:val="Title"/>
    <w:basedOn w:val="Normal"/>
    <w:next w:val="Normal"/>
    <w:link w:val="TitleChar"/>
    <w:uiPriority w:val="10"/>
    <w:qFormat/>
    <w:rsid w:val="00243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E2"/>
    <w:pPr>
      <w:spacing w:before="160"/>
      <w:jc w:val="center"/>
    </w:pPr>
    <w:rPr>
      <w:i/>
      <w:iCs/>
      <w:color w:val="404040" w:themeColor="text1" w:themeTint="BF"/>
    </w:rPr>
  </w:style>
  <w:style w:type="character" w:customStyle="1" w:styleId="QuoteChar">
    <w:name w:val="Quote Char"/>
    <w:basedOn w:val="DefaultParagraphFont"/>
    <w:link w:val="Quote"/>
    <w:uiPriority w:val="29"/>
    <w:rsid w:val="002433E2"/>
    <w:rPr>
      <w:i/>
      <w:iCs/>
      <w:color w:val="404040" w:themeColor="text1" w:themeTint="BF"/>
    </w:rPr>
  </w:style>
  <w:style w:type="paragraph" w:styleId="ListParagraph">
    <w:name w:val="List Paragraph"/>
    <w:basedOn w:val="Normal"/>
    <w:uiPriority w:val="34"/>
    <w:qFormat/>
    <w:rsid w:val="002433E2"/>
    <w:pPr>
      <w:ind w:left="720"/>
      <w:contextualSpacing/>
    </w:pPr>
  </w:style>
  <w:style w:type="character" w:styleId="IntenseEmphasis">
    <w:name w:val="Intense Emphasis"/>
    <w:basedOn w:val="DefaultParagraphFont"/>
    <w:uiPriority w:val="21"/>
    <w:qFormat/>
    <w:rsid w:val="002433E2"/>
    <w:rPr>
      <w:i/>
      <w:iCs/>
      <w:color w:val="0F4761" w:themeColor="accent1" w:themeShade="BF"/>
    </w:rPr>
  </w:style>
  <w:style w:type="paragraph" w:styleId="IntenseQuote">
    <w:name w:val="Intense Quote"/>
    <w:basedOn w:val="Normal"/>
    <w:next w:val="Normal"/>
    <w:link w:val="IntenseQuoteChar"/>
    <w:uiPriority w:val="30"/>
    <w:qFormat/>
    <w:rsid w:val="00243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3E2"/>
    <w:rPr>
      <w:i/>
      <w:iCs/>
      <w:color w:val="0F4761" w:themeColor="accent1" w:themeShade="BF"/>
    </w:rPr>
  </w:style>
  <w:style w:type="character" w:styleId="IntenseReference">
    <w:name w:val="Intense Reference"/>
    <w:basedOn w:val="DefaultParagraphFont"/>
    <w:uiPriority w:val="32"/>
    <w:qFormat/>
    <w:rsid w:val="002433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3226</Characters>
  <Application>Microsoft Office Word</Application>
  <DocSecurity>0</DocSecurity>
  <Lines>51</Lines>
  <Paragraphs>16</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Gordon Rankin</dc:creator>
  <cp:keywords/>
  <dc:description/>
  <cp:lastModifiedBy>Rev. Gordon Rankin</cp:lastModifiedBy>
  <cp:revision>1</cp:revision>
  <dcterms:created xsi:type="dcterms:W3CDTF">2025-10-21T21:41:00Z</dcterms:created>
  <dcterms:modified xsi:type="dcterms:W3CDTF">2025-10-21T21:43:00Z</dcterms:modified>
</cp:coreProperties>
</file>